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B9C8" w14:textId="77777777" w:rsidR="00C05072" w:rsidRPr="00767B82" w:rsidRDefault="00C05072" w:rsidP="00C05072">
      <w:pPr>
        <w:tabs>
          <w:tab w:val="left" w:pos="3255"/>
        </w:tabs>
        <w:rPr>
          <w:rFonts w:cstheme="minorHAnsi"/>
          <w:b/>
          <w:bCs/>
          <w:sz w:val="28"/>
          <w:szCs w:val="28"/>
        </w:rPr>
      </w:pPr>
      <w:r>
        <w:rPr>
          <w:b/>
          <w:bCs/>
          <w:sz w:val="28"/>
          <w:szCs w:val="28"/>
        </w:rPr>
        <w:t xml:space="preserve">TRAVAILLER LA LANGUE </w:t>
      </w:r>
      <w:r w:rsidRPr="00767B82">
        <w:rPr>
          <w:b/>
          <w:bCs/>
          <w:sz w:val="28"/>
          <w:szCs w:val="28"/>
        </w:rPr>
        <w:t xml:space="preserve">EN HEURE DE SOUTIEN/APPROFONDISSSEMENT DE </w:t>
      </w:r>
      <w:r w:rsidRPr="00767B82">
        <w:rPr>
          <w:rFonts w:cstheme="minorHAnsi"/>
          <w:b/>
          <w:bCs/>
          <w:sz w:val="28"/>
          <w:szCs w:val="28"/>
        </w:rPr>
        <w:t>SIXI</w:t>
      </w:r>
      <w:r w:rsidRPr="00767B82">
        <w:rPr>
          <w:rFonts w:cstheme="minorHAnsi"/>
          <w:b/>
          <w:bCs/>
          <w:color w:val="1D1D10"/>
          <w:sz w:val="28"/>
          <w:szCs w:val="28"/>
          <w:shd w:val="clear" w:color="auto" w:fill="FFFFFF"/>
        </w:rPr>
        <w:t>È</w:t>
      </w:r>
      <w:r w:rsidRPr="00767B82">
        <w:rPr>
          <w:rFonts w:cstheme="minorHAnsi"/>
          <w:b/>
          <w:bCs/>
          <w:sz w:val="28"/>
          <w:szCs w:val="28"/>
        </w:rPr>
        <w:t>ME</w:t>
      </w:r>
    </w:p>
    <w:tbl>
      <w:tblPr>
        <w:tblStyle w:val="Grilledutableau"/>
        <w:tblW w:w="0" w:type="auto"/>
        <w:tblLook w:val="04A0" w:firstRow="1" w:lastRow="0" w:firstColumn="1" w:lastColumn="0" w:noHBand="0" w:noVBand="1"/>
      </w:tblPr>
      <w:tblGrid>
        <w:gridCol w:w="3681"/>
      </w:tblGrid>
      <w:tr w:rsidR="00C05072" w14:paraId="68C9BE02" w14:textId="77777777" w:rsidTr="00ED1E5D">
        <w:tc>
          <w:tcPr>
            <w:tcW w:w="3681" w:type="dxa"/>
          </w:tcPr>
          <w:p w14:paraId="7C4B1DF8" w14:textId="77777777" w:rsidR="00C05072" w:rsidRPr="00387FD1" w:rsidRDefault="00C05072" w:rsidP="00ED1E5D">
            <w:pPr>
              <w:pStyle w:val="NormalWeb"/>
              <w:spacing w:before="200" w:beforeAutospacing="0" w:after="0" w:afterAutospacing="0" w:line="216" w:lineRule="auto"/>
              <w:rPr>
                <w:rFonts w:ascii="Calibri" w:hAnsi="Calibri" w:cs="Calibri"/>
                <w:b/>
                <w:bCs/>
                <w:sz w:val="22"/>
                <w:szCs w:val="22"/>
              </w:rPr>
            </w:pPr>
            <w:r w:rsidRPr="00367FDB">
              <w:rPr>
                <w:rFonts w:ascii="Calibri" w:hAnsi="Calibri" w:cs="Calibri"/>
                <w:b/>
                <w:bCs/>
                <w:sz w:val="22"/>
                <w:szCs w:val="22"/>
              </w:rPr>
              <w:t>Acquérir l’orthographe grammaticale </w:t>
            </w:r>
          </w:p>
        </w:tc>
      </w:tr>
    </w:tbl>
    <w:p w14:paraId="1E8B49F1" w14:textId="77777777" w:rsidR="00C05072" w:rsidRDefault="00C05072" w:rsidP="00C05072">
      <w:pPr>
        <w:tabs>
          <w:tab w:val="left" w:pos="3255"/>
        </w:tabs>
        <w:rPr>
          <w:b/>
          <w:bCs/>
          <w:sz w:val="24"/>
          <w:szCs w:val="24"/>
        </w:rPr>
      </w:pPr>
    </w:p>
    <w:p w14:paraId="60A055A6" w14:textId="77777777" w:rsidR="00C05072" w:rsidRPr="00DF5D80" w:rsidRDefault="00C05072" w:rsidP="00C05072">
      <w:pPr>
        <w:pStyle w:val="NormalWeb"/>
        <w:spacing w:before="200" w:beforeAutospacing="0" w:after="0" w:afterAutospacing="0" w:line="216" w:lineRule="auto"/>
        <w:rPr>
          <w:rFonts w:asciiTheme="minorHAnsi" w:eastAsiaTheme="minorEastAsia" w:hAnsi="Calibri" w:cstheme="minorBidi"/>
          <w:b/>
          <w:bCs/>
          <w:color w:val="4472C4" w:themeColor="accent1"/>
          <w:kern w:val="24"/>
        </w:rPr>
      </w:pPr>
      <w:r w:rsidRPr="00DF5D80">
        <w:rPr>
          <w:rFonts w:asciiTheme="minorHAnsi" w:eastAsiaTheme="minorEastAsia" w:hAnsi="Calibri" w:cstheme="minorBidi"/>
          <w:b/>
          <w:bCs/>
          <w:i/>
          <w:iCs/>
          <w:color w:val="4472C4" w:themeColor="accent1"/>
          <w:kern w:val="24"/>
        </w:rPr>
        <w:t xml:space="preserve">Les objectifs d’apprentissage </w:t>
      </w:r>
      <w:r w:rsidRPr="00DF5D80">
        <w:rPr>
          <w:rFonts w:asciiTheme="minorHAnsi" w:eastAsiaTheme="minorEastAsia" w:hAnsi="Calibri" w:cstheme="minorBidi"/>
          <w:b/>
          <w:bCs/>
          <w:color w:val="4472C4" w:themeColor="accent1"/>
          <w:kern w:val="24"/>
        </w:rPr>
        <w:t>:</w:t>
      </w:r>
    </w:p>
    <w:p w14:paraId="0202BCDE" w14:textId="77777777" w:rsidR="00C05072" w:rsidRPr="00DF5D80" w:rsidRDefault="00C05072" w:rsidP="00C05072">
      <w:pPr>
        <w:jc w:val="both"/>
        <w:rPr>
          <w:rFonts w:eastAsiaTheme="minorEastAsia" w:hAnsi="Calibri"/>
          <w:color w:val="4472C4" w:themeColor="accent1"/>
          <w:kern w:val="24"/>
        </w:rPr>
      </w:pPr>
      <w:r w:rsidRPr="00DF5D80">
        <w:rPr>
          <w:rFonts w:eastAsiaTheme="minorEastAsia" w:hAnsi="Calibri"/>
          <w:color w:val="4472C4" w:themeColor="accent1"/>
          <w:kern w:val="24"/>
        </w:rPr>
        <w:t>-Identifier les classes de mots subissant des variations : le nom et le verbe ; le déterminant ; l'adjectif ; le pronom.</w:t>
      </w:r>
    </w:p>
    <w:p w14:paraId="3E1431EB" w14:textId="77777777" w:rsidR="00C05072" w:rsidRPr="00DF5D80" w:rsidRDefault="00C05072" w:rsidP="00C05072">
      <w:pPr>
        <w:jc w:val="both"/>
        <w:rPr>
          <w:color w:val="4472C4" w:themeColor="accent1"/>
        </w:rPr>
      </w:pPr>
      <w:r w:rsidRPr="00DF5D80">
        <w:rPr>
          <w:rFonts w:eastAsiaTheme="minorEastAsia" w:hAnsi="Calibri"/>
          <w:color w:val="4472C4" w:themeColor="accent1"/>
          <w:kern w:val="24"/>
        </w:rPr>
        <w:t>- Connaître la notion de groupe nominal et d’accord au sein du groupe nominal.</w:t>
      </w:r>
    </w:p>
    <w:p w14:paraId="27CBD0BA" w14:textId="77777777" w:rsidR="00C05072" w:rsidRPr="00DF5D80" w:rsidRDefault="00C05072" w:rsidP="00C05072">
      <w:pPr>
        <w:pStyle w:val="NormalWeb"/>
        <w:spacing w:before="0" w:beforeAutospacing="0" w:after="0" w:afterAutospacing="0"/>
        <w:jc w:val="both"/>
        <w:rPr>
          <w:color w:val="4472C4" w:themeColor="accent1"/>
          <w:sz w:val="22"/>
          <w:szCs w:val="22"/>
        </w:rPr>
      </w:pPr>
      <w:r w:rsidRPr="00DF5D80">
        <w:rPr>
          <w:rFonts w:asciiTheme="minorHAnsi" w:eastAsiaTheme="minorEastAsia" w:hAnsi="Calibri" w:cstheme="minorBidi"/>
          <w:color w:val="4472C4" w:themeColor="accent1"/>
          <w:kern w:val="24"/>
          <w:sz w:val="22"/>
          <w:szCs w:val="22"/>
        </w:rPr>
        <w:t xml:space="preserve"> - Maîtriser l’accord du verbe avec son sujet y compris inversé, de l'attribut avec le sujet, du participe passé avec être.</w:t>
      </w:r>
    </w:p>
    <w:p w14:paraId="51133D92" w14:textId="77777777" w:rsidR="00C05072" w:rsidRPr="00DF5D80" w:rsidRDefault="00C05072" w:rsidP="00C05072">
      <w:pPr>
        <w:tabs>
          <w:tab w:val="left" w:pos="3255"/>
        </w:tabs>
        <w:jc w:val="both"/>
        <w:rPr>
          <w:b/>
          <w:bCs/>
          <w:color w:val="4472C4" w:themeColor="accent1"/>
        </w:rPr>
      </w:pPr>
    </w:p>
    <w:p w14:paraId="6A2DE73F" w14:textId="77777777" w:rsidR="00C05072" w:rsidRPr="00DF5D80" w:rsidRDefault="00C05072" w:rsidP="00C05072">
      <w:pPr>
        <w:tabs>
          <w:tab w:val="left" w:pos="3255"/>
        </w:tabs>
        <w:jc w:val="both"/>
        <w:rPr>
          <w:b/>
          <w:bCs/>
          <w:i/>
          <w:iCs/>
        </w:rPr>
      </w:pPr>
      <w:r w:rsidRPr="00DF5D80">
        <w:rPr>
          <w:b/>
          <w:bCs/>
          <w:i/>
          <w:iCs/>
          <w:u w:val="single"/>
        </w:rPr>
        <w:t>Les objectifs de fin de CM2 :</w:t>
      </w:r>
      <w:r w:rsidRPr="00DF5D80">
        <w:rPr>
          <w:i/>
          <w:iCs/>
        </w:rPr>
        <w:t xml:space="preserve"> Les élèves poursuivent le travail sur l’identification des classes de mots subissant des variations en s’intéressant à l'adjectif et au pronom. Ils comprennent la notion de participe passé et travaillent sur son accord quand il est employé avec le verbe être. Ils maîtrisent l’accord du verbe avec le sujet, même quand celui-ci est inversé.</w:t>
      </w:r>
    </w:p>
    <w:p w14:paraId="7E0D5A96" w14:textId="77777777" w:rsidR="00C05072" w:rsidRPr="00DF5D80" w:rsidRDefault="00C05072" w:rsidP="00C05072">
      <w:pPr>
        <w:tabs>
          <w:tab w:val="left" w:pos="3255"/>
        </w:tabs>
        <w:jc w:val="both"/>
        <w:rPr>
          <w:i/>
          <w:iCs/>
        </w:rPr>
      </w:pPr>
      <w:r w:rsidRPr="00DF5D80">
        <w:rPr>
          <w:b/>
          <w:bCs/>
          <w:i/>
          <w:iCs/>
          <w:u w:val="single"/>
        </w:rPr>
        <w:t>Les objectifs de fin de 6</w:t>
      </w:r>
      <w:r w:rsidRPr="00DF5D80">
        <w:rPr>
          <w:b/>
          <w:bCs/>
          <w:i/>
          <w:iCs/>
          <w:u w:val="single"/>
          <w:vertAlign w:val="superscript"/>
        </w:rPr>
        <w:t>e</w:t>
      </w:r>
      <w:r w:rsidRPr="00DF5D80">
        <w:rPr>
          <w:b/>
          <w:bCs/>
          <w:i/>
          <w:iCs/>
          <w:u w:val="single"/>
        </w:rPr>
        <w:t> :</w:t>
      </w:r>
      <w:r w:rsidRPr="00DF5D80">
        <w:rPr>
          <w:b/>
          <w:bCs/>
          <w:i/>
          <w:iCs/>
        </w:rPr>
        <w:t xml:space="preserve"> </w:t>
      </w:r>
      <w:r w:rsidRPr="00DF5D80">
        <w:rPr>
          <w:i/>
          <w:iCs/>
        </w:rPr>
        <w:t xml:space="preserve">Ils maîtrisent les propriétés de l’attribut du sujet et le distinguent du COD. Ils maîtrisent l’accord du participe passé </w:t>
      </w:r>
      <w:proofErr w:type="gramStart"/>
      <w:r w:rsidRPr="00DF5D80">
        <w:rPr>
          <w:i/>
          <w:iCs/>
        </w:rPr>
        <w:t>employé</w:t>
      </w:r>
      <w:proofErr w:type="gramEnd"/>
      <w:r w:rsidRPr="00DF5D80">
        <w:rPr>
          <w:i/>
          <w:iCs/>
        </w:rPr>
        <w:t xml:space="preserve"> avec être.</w:t>
      </w:r>
    </w:p>
    <w:p w14:paraId="6159329D" w14:textId="77777777" w:rsidR="00C05072" w:rsidRPr="00DF5D80" w:rsidRDefault="00C05072" w:rsidP="00C05072">
      <w:pPr>
        <w:tabs>
          <w:tab w:val="left" w:pos="3255"/>
        </w:tabs>
        <w:rPr>
          <w:b/>
          <w:bCs/>
          <w:i/>
          <w:iCs/>
        </w:rPr>
      </w:pPr>
    </w:p>
    <w:p w14:paraId="35F79045" w14:textId="77777777" w:rsidR="00C05072" w:rsidRPr="00DF5D80" w:rsidRDefault="00C05072" w:rsidP="00C05072">
      <w:pPr>
        <w:tabs>
          <w:tab w:val="left" w:pos="3255"/>
        </w:tabs>
        <w:rPr>
          <w:b/>
          <w:bCs/>
          <w:i/>
          <w:iCs/>
        </w:rPr>
      </w:pPr>
      <w:r w:rsidRPr="00DF5D80">
        <w:rPr>
          <w:b/>
          <w:bCs/>
          <w:i/>
          <w:iCs/>
        </w:rPr>
        <w:t xml:space="preserve">Quelques exemples d’activités : </w:t>
      </w:r>
    </w:p>
    <w:p w14:paraId="75667BBC" w14:textId="77777777" w:rsidR="00C05072" w:rsidRPr="00387FD1" w:rsidRDefault="00C05072" w:rsidP="00C05072">
      <w:pPr>
        <w:jc w:val="both"/>
        <w:rPr>
          <w:rFonts w:ascii="Calibri" w:eastAsia="Times New Roman" w:hAnsi="Calibri" w:cs="Calibri"/>
          <w:color w:val="000000"/>
          <w:kern w:val="0"/>
          <w:lang w:eastAsia="fr-FR"/>
          <w14:ligatures w14:val="none"/>
        </w:rPr>
      </w:pPr>
      <w:r>
        <w:rPr>
          <w:b/>
          <w:bCs/>
        </w:rPr>
        <w:t xml:space="preserve">- </w:t>
      </w:r>
      <w:r w:rsidRPr="00387FD1">
        <w:rPr>
          <w:rFonts w:ascii="Calibri" w:hAnsi="Calibri" w:cs="Calibri"/>
        </w:rPr>
        <w:t>le tri de mots</w:t>
      </w:r>
      <w:r w:rsidRPr="00387FD1">
        <w:rPr>
          <w:rFonts w:ascii="Calibri" w:hAnsi="Calibri" w:cs="Calibri"/>
          <w:b/>
          <w:bCs/>
        </w:rPr>
        <w:t> :</w:t>
      </w:r>
      <w:r w:rsidRPr="00387FD1">
        <w:rPr>
          <w:rFonts w:ascii="Calibri" w:eastAsia="Times New Roman" w:hAnsi="Calibri" w:cs="Calibri"/>
          <w:color w:val="000000"/>
          <w:kern w:val="0"/>
          <w:lang w:eastAsia="fr-FR"/>
          <w14:ligatures w14:val="none"/>
        </w:rPr>
        <w:t xml:space="preserve"> </w:t>
      </w:r>
      <w:hyperlink r:id="rId5" w:tgtFrame="_blank" w:history="1">
        <w:r w:rsidRPr="00387FD1">
          <w:rPr>
            <w:rFonts w:ascii="Calibri" w:eastAsia="Times New Roman" w:hAnsi="Calibri" w:cs="Calibri"/>
            <w:color w:val="0000FF"/>
            <w:kern w:val="0"/>
            <w:u w:val="single"/>
            <w:lang w:eastAsia="fr-FR"/>
            <w14:ligatures w14:val="none"/>
          </w:rPr>
          <w:t>BSD - Tri de mots : un exemple en 6&lt;sup&gt;e&lt;/sup&gt; (reseau-canope.fr)</w:t>
        </w:r>
      </w:hyperlink>
    </w:p>
    <w:p w14:paraId="77A5BEE0" w14:textId="77777777" w:rsidR="00C05072" w:rsidRPr="00387FD1" w:rsidRDefault="00C05072" w:rsidP="00C05072">
      <w:pPr>
        <w:pStyle w:val="NormalWeb"/>
        <w:spacing w:before="0" w:beforeAutospacing="0" w:after="0" w:afterAutospacing="0"/>
        <w:jc w:val="both"/>
        <w:rPr>
          <w:rFonts w:ascii="Calibri" w:eastAsiaTheme="minorEastAsia" w:hAnsi="Calibri" w:cs="Calibri"/>
          <w:color w:val="000000" w:themeColor="dark1"/>
          <w:kern w:val="24"/>
          <w:sz w:val="22"/>
          <w:szCs w:val="22"/>
        </w:rPr>
      </w:pPr>
      <w:r w:rsidRPr="00387FD1">
        <w:rPr>
          <w:rFonts w:ascii="Calibri" w:eastAsiaTheme="minorEastAsia" w:hAnsi="Calibri" w:cs="Calibri"/>
          <w:color w:val="000000" w:themeColor="dark1"/>
          <w:kern w:val="24"/>
          <w:sz w:val="22"/>
          <w:szCs w:val="22"/>
        </w:rPr>
        <w:t xml:space="preserve">-Travaux sur corpus : Activités de classement et raisonnements permettant de mettre en évidence les régularités. </w:t>
      </w:r>
    </w:p>
    <w:p w14:paraId="2C9880A7" w14:textId="77777777" w:rsidR="00C05072" w:rsidRPr="00387FD1" w:rsidRDefault="00C05072" w:rsidP="00C05072">
      <w:pPr>
        <w:pStyle w:val="NormalWeb"/>
        <w:spacing w:before="0" w:beforeAutospacing="0" w:after="0" w:afterAutospacing="0"/>
        <w:jc w:val="both"/>
        <w:rPr>
          <w:rFonts w:ascii="Calibri" w:eastAsiaTheme="minorEastAsia" w:hAnsi="Calibri" w:cs="Calibri"/>
          <w:color w:val="000000" w:themeColor="dark1"/>
          <w:kern w:val="24"/>
          <w:sz w:val="22"/>
          <w:szCs w:val="22"/>
        </w:rPr>
      </w:pPr>
      <w:r w:rsidRPr="00387FD1">
        <w:rPr>
          <w:rFonts w:ascii="Calibri" w:eastAsiaTheme="minorEastAsia" w:hAnsi="Calibri" w:cs="Calibri"/>
          <w:color w:val="000000" w:themeColor="dark1"/>
          <w:kern w:val="24"/>
          <w:sz w:val="22"/>
          <w:szCs w:val="22"/>
        </w:rPr>
        <w:t>Un exemple de travail sur corpus : le travail sur l’accord sujet-verbe /</w:t>
      </w:r>
    </w:p>
    <w:p w14:paraId="718C4215" w14:textId="77777777" w:rsidR="00C05072" w:rsidRPr="00387FD1" w:rsidRDefault="00C05072" w:rsidP="00C05072">
      <w:pPr>
        <w:pStyle w:val="NormalWeb"/>
        <w:spacing w:before="0" w:beforeAutospacing="0" w:after="0" w:afterAutospacing="0"/>
        <w:jc w:val="both"/>
        <w:rPr>
          <w:rFonts w:ascii="Calibri" w:hAnsi="Calibri" w:cs="Calibri"/>
          <w:sz w:val="22"/>
          <w:szCs w:val="22"/>
        </w:rPr>
      </w:pPr>
      <w:hyperlink r:id="rId6" w:history="1">
        <w:r w:rsidRPr="00387FD1">
          <w:rPr>
            <w:rStyle w:val="Lienhypertexte"/>
            <w:rFonts w:ascii="Calibri" w:hAnsi="Calibri" w:cs="Calibri"/>
            <w:sz w:val="22"/>
            <w:szCs w:val="22"/>
          </w:rPr>
          <w:t>https://eduscol.education.fr/document/49772/download</w:t>
        </w:r>
      </w:hyperlink>
    </w:p>
    <w:p w14:paraId="2CD02168" w14:textId="77777777" w:rsidR="00C05072" w:rsidRPr="00387FD1" w:rsidRDefault="00C05072" w:rsidP="00C05072">
      <w:pPr>
        <w:pStyle w:val="NormalWeb"/>
        <w:spacing w:before="0" w:beforeAutospacing="0" w:after="0" w:afterAutospacing="0"/>
        <w:jc w:val="both"/>
        <w:rPr>
          <w:rFonts w:ascii="Calibri" w:hAnsi="Calibri" w:cs="Calibri"/>
          <w:sz w:val="22"/>
          <w:szCs w:val="22"/>
        </w:rPr>
      </w:pPr>
      <w:r w:rsidRPr="00387FD1">
        <w:rPr>
          <w:rFonts w:ascii="Calibri" w:eastAsiaTheme="minorEastAsia" w:hAnsi="Calibri" w:cs="Calibri"/>
          <w:color w:val="000000" w:themeColor="dark1"/>
          <w:kern w:val="24"/>
          <w:sz w:val="22"/>
          <w:szCs w:val="22"/>
        </w:rPr>
        <w:t xml:space="preserve">-Manipulations syntaxiques (remplacement, par exemple par un pronom, expansion, etc.). </w:t>
      </w:r>
    </w:p>
    <w:p w14:paraId="479E5D56" w14:textId="77777777" w:rsidR="00C05072" w:rsidRPr="00387FD1" w:rsidRDefault="00C05072" w:rsidP="00C05072">
      <w:pPr>
        <w:pStyle w:val="NormalWeb"/>
        <w:spacing w:before="0" w:beforeAutospacing="0" w:after="0" w:afterAutospacing="0"/>
        <w:jc w:val="both"/>
        <w:rPr>
          <w:rFonts w:ascii="Calibri" w:eastAsiaTheme="minorEastAsia" w:hAnsi="Calibri" w:cs="Calibri"/>
          <w:color w:val="000000" w:themeColor="dark1"/>
          <w:kern w:val="24"/>
          <w:sz w:val="22"/>
          <w:szCs w:val="22"/>
        </w:rPr>
      </w:pPr>
      <w:r w:rsidRPr="00387FD1">
        <w:rPr>
          <w:rFonts w:ascii="Calibri" w:eastAsiaTheme="minorEastAsia" w:hAnsi="Calibri" w:cs="Calibri"/>
          <w:color w:val="000000" w:themeColor="dark1"/>
          <w:kern w:val="24"/>
          <w:sz w:val="22"/>
          <w:szCs w:val="22"/>
        </w:rPr>
        <w:t xml:space="preserve">-Activités d'entraînement pour fixer les régularités et automatiser les accords simples. </w:t>
      </w:r>
    </w:p>
    <w:p w14:paraId="216F7BD1" w14:textId="77777777" w:rsidR="00C05072" w:rsidRPr="00387FD1" w:rsidRDefault="00C05072" w:rsidP="00C05072">
      <w:pPr>
        <w:pStyle w:val="NormalWeb"/>
        <w:spacing w:before="0" w:beforeAutospacing="0" w:after="0" w:afterAutospacing="0"/>
        <w:jc w:val="both"/>
        <w:rPr>
          <w:rFonts w:ascii="Calibri" w:eastAsiaTheme="minorEastAsia" w:hAnsi="Calibri" w:cs="Calibri"/>
          <w:color w:val="000000" w:themeColor="dark1"/>
          <w:kern w:val="24"/>
          <w:sz w:val="22"/>
          <w:szCs w:val="22"/>
        </w:rPr>
      </w:pPr>
      <w:r w:rsidRPr="00387FD1">
        <w:rPr>
          <w:rFonts w:ascii="Calibri" w:eastAsiaTheme="minorEastAsia" w:hAnsi="Calibri" w:cs="Calibri"/>
          <w:color w:val="000000" w:themeColor="dark1"/>
          <w:kern w:val="24"/>
          <w:sz w:val="22"/>
          <w:szCs w:val="22"/>
        </w:rPr>
        <w:t>- Travaux sur des dictées négociées autour de mêmes problèmes grammaticaux, mais de difficultés variables.</w:t>
      </w:r>
    </w:p>
    <w:p w14:paraId="4CEDD705" w14:textId="77777777" w:rsidR="00C05072" w:rsidRPr="0035682F" w:rsidRDefault="00C05072" w:rsidP="00C05072">
      <w:pPr>
        <w:pStyle w:val="NormalWeb"/>
        <w:spacing w:before="0" w:beforeAutospacing="0" w:after="0" w:afterAutospacing="0"/>
        <w:rPr>
          <w:rFonts w:asciiTheme="minorHAnsi" w:eastAsiaTheme="minorEastAsia" w:hAnsiTheme="minorHAnsi" w:cstheme="minorHAnsi"/>
          <w:color w:val="000000" w:themeColor="dark1"/>
          <w:kern w:val="24"/>
          <w:sz w:val="22"/>
          <w:szCs w:val="22"/>
        </w:rPr>
      </w:pPr>
    </w:p>
    <w:tbl>
      <w:tblPr>
        <w:tblStyle w:val="Grilledutableau"/>
        <w:tblW w:w="0" w:type="auto"/>
        <w:tblLook w:val="04A0" w:firstRow="1" w:lastRow="0" w:firstColumn="1" w:lastColumn="0" w:noHBand="0" w:noVBand="1"/>
      </w:tblPr>
      <w:tblGrid>
        <w:gridCol w:w="9062"/>
      </w:tblGrid>
      <w:tr w:rsidR="00C05072" w14:paraId="0932AEEC" w14:textId="77777777" w:rsidTr="00ED1E5D">
        <w:tc>
          <w:tcPr>
            <w:tcW w:w="9062" w:type="dxa"/>
          </w:tcPr>
          <w:p w14:paraId="5B5EA957" w14:textId="77777777" w:rsidR="00C05072" w:rsidRDefault="00C05072" w:rsidP="00ED1E5D">
            <w:pPr>
              <w:tabs>
                <w:tab w:val="left" w:pos="3255"/>
              </w:tabs>
              <w:rPr>
                <w:sz w:val="28"/>
                <w:szCs w:val="28"/>
              </w:rPr>
            </w:pPr>
            <w:r w:rsidRPr="00EA51F0">
              <w:rPr>
                <w:sz w:val="28"/>
                <w:szCs w:val="28"/>
              </w:rPr>
              <w:t>CONSTRUIRE UNE SEQUENCE DE LANGUE :</w:t>
            </w:r>
          </w:p>
          <w:p w14:paraId="5993563B" w14:textId="77777777" w:rsidR="00C05072" w:rsidRDefault="00C05072" w:rsidP="00ED1E5D">
            <w:pPr>
              <w:tabs>
                <w:tab w:val="left" w:pos="3255"/>
              </w:tabs>
              <w:rPr>
                <w:sz w:val="28"/>
                <w:szCs w:val="28"/>
              </w:rPr>
            </w:pPr>
          </w:p>
          <w:p w14:paraId="045FF74B" w14:textId="77777777" w:rsidR="00C05072" w:rsidRPr="0035682F" w:rsidRDefault="00C05072" w:rsidP="00ED1E5D">
            <w:pPr>
              <w:tabs>
                <w:tab w:val="left" w:pos="3255"/>
              </w:tabs>
              <w:rPr>
                <w:rFonts w:ascii="Times New Roman" w:hAnsi="Times New Roman" w:cs="Times New Roman"/>
                <w:b/>
                <w:bCs/>
                <w:sz w:val="24"/>
                <w:szCs w:val="24"/>
              </w:rPr>
            </w:pPr>
            <w:r>
              <w:rPr>
                <w:sz w:val="28"/>
                <w:szCs w:val="28"/>
              </w:rPr>
              <w:t xml:space="preserve">     -     </w:t>
            </w:r>
            <w:r w:rsidRPr="0035682F">
              <w:rPr>
                <w:rFonts w:ascii="Times New Roman" w:hAnsi="Times New Roman" w:cs="Times New Roman"/>
                <w:b/>
                <w:bCs/>
                <w:sz w:val="24"/>
                <w:szCs w:val="24"/>
              </w:rPr>
              <w:t xml:space="preserve">Quel point précis, choisit-on de travailler pendant la session de soutien/approfondissement ? (Le repérage du verbe ? </w:t>
            </w:r>
            <w:r>
              <w:rPr>
                <w:rFonts w:ascii="Times New Roman" w:hAnsi="Times New Roman" w:cs="Times New Roman"/>
                <w:b/>
                <w:bCs/>
                <w:sz w:val="24"/>
                <w:szCs w:val="24"/>
              </w:rPr>
              <w:t>l</w:t>
            </w:r>
            <w:r w:rsidRPr="0035682F">
              <w:rPr>
                <w:rFonts w:ascii="Times New Roman" w:hAnsi="Times New Roman" w:cs="Times New Roman"/>
                <w:b/>
                <w:bCs/>
                <w:sz w:val="24"/>
                <w:szCs w:val="24"/>
              </w:rPr>
              <w:t>’accord sujet/verbe ? etc.)</w:t>
            </w:r>
          </w:p>
          <w:p w14:paraId="709EB443" w14:textId="77777777" w:rsidR="00C05072" w:rsidRPr="0035682F" w:rsidRDefault="00C05072" w:rsidP="00ED1E5D">
            <w:pPr>
              <w:tabs>
                <w:tab w:val="left" w:pos="3255"/>
              </w:tabs>
              <w:ind w:left="360"/>
              <w:rPr>
                <w:rFonts w:ascii="Times New Roman" w:hAnsi="Times New Roman" w:cs="Times New Roman"/>
                <w:sz w:val="24"/>
                <w:szCs w:val="24"/>
              </w:rPr>
            </w:pPr>
            <w:r>
              <w:rPr>
                <w:rFonts w:ascii="Times New Roman" w:hAnsi="Times New Roman" w:cs="Times New Roman"/>
                <w:b/>
                <w:bCs/>
                <w:sz w:val="24"/>
                <w:szCs w:val="24"/>
              </w:rPr>
              <w:t xml:space="preserve">-     </w:t>
            </w:r>
            <w:r w:rsidRPr="0035682F">
              <w:rPr>
                <w:rFonts w:ascii="Times New Roman" w:hAnsi="Times New Roman" w:cs="Times New Roman"/>
                <w:b/>
                <w:bCs/>
                <w:sz w:val="24"/>
                <w:szCs w:val="24"/>
              </w:rPr>
              <w:t>Comment élaborer l’évaluation diagnostic pour penser la séquence et constituer les groupes de travail</w:t>
            </w:r>
            <w:r w:rsidRPr="0035682F">
              <w:rPr>
                <w:rFonts w:ascii="Times New Roman" w:hAnsi="Times New Roman" w:cs="Times New Roman"/>
                <w:sz w:val="24"/>
                <w:szCs w:val="24"/>
              </w:rPr>
              <w:t xml:space="preserve"> (soutien/ approfondissement) ?</w:t>
            </w:r>
          </w:p>
          <w:p w14:paraId="13765B24" w14:textId="77777777" w:rsidR="00C05072" w:rsidRPr="00AA1109" w:rsidRDefault="00C05072" w:rsidP="00ED1E5D">
            <w:pPr>
              <w:pStyle w:val="Paragraphedeliste"/>
              <w:numPr>
                <w:ilvl w:val="0"/>
                <w:numId w:val="1"/>
              </w:numPr>
              <w:tabs>
                <w:tab w:val="left" w:pos="3255"/>
              </w:tabs>
              <w:rPr>
                <w:b/>
                <w:bCs/>
              </w:rPr>
            </w:pPr>
            <w:r w:rsidRPr="0035682F">
              <w:rPr>
                <w:b/>
                <w:bCs/>
              </w:rPr>
              <w:t>Quels types d’activités sur la</w:t>
            </w:r>
            <w:r w:rsidRPr="00AA1109">
              <w:rPr>
                <w:b/>
                <w:bCs/>
              </w:rPr>
              <w:t xml:space="preserve"> langue</w:t>
            </w:r>
            <w:r>
              <w:t xml:space="preserve"> ? </w:t>
            </w:r>
            <w:r w:rsidRPr="00AA1109">
              <w:rPr>
                <w:b/>
                <w:bCs/>
              </w:rPr>
              <w:t>quelle progression ?</w:t>
            </w:r>
          </w:p>
          <w:p w14:paraId="3E931DAA" w14:textId="77777777" w:rsidR="00C05072" w:rsidRPr="00AA1109" w:rsidRDefault="00C05072" w:rsidP="00ED1E5D">
            <w:pPr>
              <w:pStyle w:val="Paragraphedeliste"/>
              <w:numPr>
                <w:ilvl w:val="0"/>
                <w:numId w:val="1"/>
              </w:numPr>
              <w:tabs>
                <w:tab w:val="left" w:pos="3255"/>
              </w:tabs>
              <w:rPr>
                <w:b/>
                <w:bCs/>
              </w:rPr>
            </w:pPr>
            <w:r w:rsidRPr="00AA1109">
              <w:rPr>
                <w:b/>
                <w:bCs/>
              </w:rPr>
              <w:t>Comment consolider les apprentissages ?</w:t>
            </w:r>
          </w:p>
          <w:p w14:paraId="2CE5D555" w14:textId="77777777" w:rsidR="00C05072" w:rsidRPr="00AA1109" w:rsidRDefault="00C05072" w:rsidP="00ED1E5D">
            <w:pPr>
              <w:pStyle w:val="Paragraphedeliste"/>
              <w:numPr>
                <w:ilvl w:val="0"/>
                <w:numId w:val="1"/>
              </w:numPr>
              <w:tabs>
                <w:tab w:val="left" w:pos="3255"/>
              </w:tabs>
              <w:rPr>
                <w:b/>
                <w:bCs/>
              </w:rPr>
            </w:pPr>
            <w:r w:rsidRPr="00AA1109">
              <w:rPr>
                <w:b/>
                <w:bCs/>
              </w:rPr>
              <w:t>Comment construire un réinvestissement ?</w:t>
            </w:r>
          </w:p>
          <w:p w14:paraId="0835D7CD" w14:textId="77777777" w:rsidR="00C05072" w:rsidRPr="00F45710" w:rsidRDefault="00C05072" w:rsidP="00ED1E5D">
            <w:pPr>
              <w:pStyle w:val="Paragraphedeliste"/>
              <w:tabs>
                <w:tab w:val="left" w:pos="3255"/>
              </w:tabs>
            </w:pPr>
          </w:p>
          <w:p w14:paraId="14A4969D" w14:textId="77777777" w:rsidR="00C05072" w:rsidRDefault="00C05072" w:rsidP="00ED1E5D">
            <w:pPr>
              <w:tabs>
                <w:tab w:val="left" w:pos="3255"/>
              </w:tabs>
            </w:pPr>
            <w:r>
              <w:t xml:space="preserve">Ne pas oublier de réinvestir le vocabulaire et la syntaxe des séquences en cours dans les dictées et exercices (cohérence de l’univers référentiel).  </w:t>
            </w:r>
          </w:p>
        </w:tc>
      </w:tr>
    </w:tbl>
    <w:p w14:paraId="6CFA486F" w14:textId="77777777" w:rsidR="009F0E0E" w:rsidRDefault="009F0E0E"/>
    <w:sectPr w:rsidR="009F0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613"/>
    <w:multiLevelType w:val="hybridMultilevel"/>
    <w:tmpl w:val="0FCA217E"/>
    <w:lvl w:ilvl="0" w:tplc="35741AF4">
      <w:start w:val="1"/>
      <w:numFmt w:val="bullet"/>
      <w:lvlText w:val="-"/>
      <w:lvlJc w:val="left"/>
      <w:pPr>
        <w:tabs>
          <w:tab w:val="num" w:pos="720"/>
        </w:tabs>
        <w:ind w:left="720" w:hanging="360"/>
      </w:pPr>
      <w:rPr>
        <w:rFonts w:ascii="Times New Roman" w:hAnsi="Times New Roman" w:hint="default"/>
      </w:rPr>
    </w:lvl>
    <w:lvl w:ilvl="1" w:tplc="544C3C1E" w:tentative="1">
      <w:start w:val="1"/>
      <w:numFmt w:val="bullet"/>
      <w:lvlText w:val="-"/>
      <w:lvlJc w:val="left"/>
      <w:pPr>
        <w:tabs>
          <w:tab w:val="num" w:pos="1440"/>
        </w:tabs>
        <w:ind w:left="1440" w:hanging="360"/>
      </w:pPr>
      <w:rPr>
        <w:rFonts w:ascii="Times New Roman" w:hAnsi="Times New Roman" w:hint="default"/>
      </w:rPr>
    </w:lvl>
    <w:lvl w:ilvl="2" w:tplc="B81A573C" w:tentative="1">
      <w:start w:val="1"/>
      <w:numFmt w:val="bullet"/>
      <w:lvlText w:val="-"/>
      <w:lvlJc w:val="left"/>
      <w:pPr>
        <w:tabs>
          <w:tab w:val="num" w:pos="2160"/>
        </w:tabs>
        <w:ind w:left="2160" w:hanging="360"/>
      </w:pPr>
      <w:rPr>
        <w:rFonts w:ascii="Times New Roman" w:hAnsi="Times New Roman" w:hint="default"/>
      </w:rPr>
    </w:lvl>
    <w:lvl w:ilvl="3" w:tplc="1F7ADC44" w:tentative="1">
      <w:start w:val="1"/>
      <w:numFmt w:val="bullet"/>
      <w:lvlText w:val="-"/>
      <w:lvlJc w:val="left"/>
      <w:pPr>
        <w:tabs>
          <w:tab w:val="num" w:pos="2880"/>
        </w:tabs>
        <w:ind w:left="2880" w:hanging="360"/>
      </w:pPr>
      <w:rPr>
        <w:rFonts w:ascii="Times New Roman" w:hAnsi="Times New Roman" w:hint="default"/>
      </w:rPr>
    </w:lvl>
    <w:lvl w:ilvl="4" w:tplc="9D14AB76" w:tentative="1">
      <w:start w:val="1"/>
      <w:numFmt w:val="bullet"/>
      <w:lvlText w:val="-"/>
      <w:lvlJc w:val="left"/>
      <w:pPr>
        <w:tabs>
          <w:tab w:val="num" w:pos="3600"/>
        </w:tabs>
        <w:ind w:left="3600" w:hanging="360"/>
      </w:pPr>
      <w:rPr>
        <w:rFonts w:ascii="Times New Roman" w:hAnsi="Times New Roman" w:hint="default"/>
      </w:rPr>
    </w:lvl>
    <w:lvl w:ilvl="5" w:tplc="3D4291BE" w:tentative="1">
      <w:start w:val="1"/>
      <w:numFmt w:val="bullet"/>
      <w:lvlText w:val="-"/>
      <w:lvlJc w:val="left"/>
      <w:pPr>
        <w:tabs>
          <w:tab w:val="num" w:pos="4320"/>
        </w:tabs>
        <w:ind w:left="4320" w:hanging="360"/>
      </w:pPr>
      <w:rPr>
        <w:rFonts w:ascii="Times New Roman" w:hAnsi="Times New Roman" w:hint="default"/>
      </w:rPr>
    </w:lvl>
    <w:lvl w:ilvl="6" w:tplc="BB986C4E" w:tentative="1">
      <w:start w:val="1"/>
      <w:numFmt w:val="bullet"/>
      <w:lvlText w:val="-"/>
      <w:lvlJc w:val="left"/>
      <w:pPr>
        <w:tabs>
          <w:tab w:val="num" w:pos="5040"/>
        </w:tabs>
        <w:ind w:left="5040" w:hanging="360"/>
      </w:pPr>
      <w:rPr>
        <w:rFonts w:ascii="Times New Roman" w:hAnsi="Times New Roman" w:hint="default"/>
      </w:rPr>
    </w:lvl>
    <w:lvl w:ilvl="7" w:tplc="6B029972" w:tentative="1">
      <w:start w:val="1"/>
      <w:numFmt w:val="bullet"/>
      <w:lvlText w:val="-"/>
      <w:lvlJc w:val="left"/>
      <w:pPr>
        <w:tabs>
          <w:tab w:val="num" w:pos="5760"/>
        </w:tabs>
        <w:ind w:left="5760" w:hanging="360"/>
      </w:pPr>
      <w:rPr>
        <w:rFonts w:ascii="Times New Roman" w:hAnsi="Times New Roman" w:hint="default"/>
      </w:rPr>
    </w:lvl>
    <w:lvl w:ilvl="8" w:tplc="3DD0CFF6" w:tentative="1">
      <w:start w:val="1"/>
      <w:numFmt w:val="bullet"/>
      <w:lvlText w:val="-"/>
      <w:lvlJc w:val="left"/>
      <w:pPr>
        <w:tabs>
          <w:tab w:val="num" w:pos="6480"/>
        </w:tabs>
        <w:ind w:left="6480" w:hanging="360"/>
      </w:pPr>
      <w:rPr>
        <w:rFonts w:ascii="Times New Roman" w:hAnsi="Times New Roman" w:hint="default"/>
      </w:rPr>
    </w:lvl>
  </w:abstractNum>
  <w:num w:numId="1" w16cid:durableId="37592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72"/>
    <w:rsid w:val="009F0E0E"/>
    <w:rsid w:val="00C05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F269"/>
  <w15:chartTrackingRefBased/>
  <w15:docId w15:val="{686D498E-BEB5-496D-AF35-9EC55D2C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0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507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C05072"/>
    <w:pPr>
      <w:spacing w:after="0" w:line="240" w:lineRule="auto"/>
      <w:ind w:left="720"/>
      <w:contextualSpacing/>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C0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5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scol.education.fr/document/49772/download" TargetMode="External"/><Relationship Id="rId5" Type="http://schemas.openxmlformats.org/officeDocument/2006/relationships/hyperlink" Target="https://www.reseau-canope.fr/bsd/sequence.aspx?bloc=88615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escolan</dc:creator>
  <cp:keywords/>
  <dc:description/>
  <cp:lastModifiedBy>céline escolan</cp:lastModifiedBy>
  <cp:revision>1</cp:revision>
  <dcterms:created xsi:type="dcterms:W3CDTF">2023-06-25T13:34:00Z</dcterms:created>
  <dcterms:modified xsi:type="dcterms:W3CDTF">2023-06-25T13:35:00Z</dcterms:modified>
</cp:coreProperties>
</file>